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53A8" w14:textId="4AA73D27" w:rsidR="000F7E18" w:rsidRPr="000F7E18" w:rsidRDefault="000F7E18" w:rsidP="000F7E18">
      <w:pPr>
        <w:pStyle w:val="Titlu2"/>
        <w:keepLines w:val="0"/>
        <w:numPr>
          <w:ilvl w:val="1"/>
          <w:numId w:val="1"/>
        </w:numPr>
        <w:spacing w:before="76" w:after="120" w:line="321" w:lineRule="exact"/>
        <w:ind w:left="1185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Bibliografie</w:t>
      </w:r>
      <w:r>
        <w:rPr>
          <w:rFonts w:ascii="Calibri" w:hAnsi="Calibri" w:cs="Calibri"/>
          <w:b/>
          <w:bCs/>
          <w:color w:val="auto"/>
          <w:spacing w:val="7"/>
          <w:sz w:val="24"/>
          <w:szCs w:val="24"/>
        </w:rPr>
        <w:t xml:space="preserve"> si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tematica</w:t>
      </w:r>
      <w:r w:rsidRPr="000F7E18">
        <w:rPr>
          <w:rFonts w:ascii="Calibri" w:hAnsi="Calibri" w:cs="Calibri"/>
          <w:b/>
          <w:bCs/>
          <w:color w:val="auto"/>
          <w:spacing w:val="8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pentru</w:t>
      </w:r>
      <w:r w:rsidRPr="000F7E18">
        <w:rPr>
          <w:rFonts w:ascii="Calibri" w:hAnsi="Calibri" w:cs="Calibri"/>
          <w:b/>
          <w:bCs/>
          <w:color w:val="auto"/>
          <w:spacing w:val="8"/>
          <w:sz w:val="24"/>
          <w:szCs w:val="24"/>
        </w:rPr>
        <w:t xml:space="preserve"> </w:t>
      </w:r>
      <w:proofErr w:type="spellStart"/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pentru</w:t>
      </w:r>
      <w:proofErr w:type="spellEnd"/>
      <w:r w:rsidRPr="000F7E18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inspector,</w:t>
      </w:r>
      <w:r w:rsidRPr="000F7E18">
        <w:rPr>
          <w:rFonts w:ascii="Calibri" w:hAnsi="Calibri" w:cs="Calibri"/>
          <w:b/>
          <w:bCs/>
          <w:color w:val="auto"/>
          <w:spacing w:val="13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clasa</w:t>
      </w:r>
      <w:r w:rsidRPr="000F7E18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I,</w:t>
      </w:r>
      <w:r w:rsidRPr="000F7E18">
        <w:rPr>
          <w:rFonts w:ascii="Calibri" w:hAnsi="Calibri" w:cs="Calibri"/>
          <w:b/>
          <w:bCs/>
          <w:color w:val="auto"/>
          <w:spacing w:val="4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gradul</w:t>
      </w:r>
      <w:r w:rsidRPr="000F7E18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z w:val="24"/>
          <w:szCs w:val="24"/>
        </w:rPr>
        <w:t>profesional</w:t>
      </w:r>
      <w:r w:rsidRPr="000F7E18">
        <w:rPr>
          <w:rFonts w:ascii="Calibri" w:hAnsi="Calibri" w:cs="Calibri"/>
          <w:b/>
          <w:bCs/>
          <w:color w:val="auto"/>
          <w:spacing w:val="22"/>
          <w:sz w:val="24"/>
          <w:szCs w:val="24"/>
        </w:rPr>
        <w:t xml:space="preserve"> </w:t>
      </w:r>
      <w:r w:rsidRPr="000F7E18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debutant</w:t>
      </w:r>
      <w:r w:rsidR="00CC23ED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-Compartimentul Resurse Umane</w:t>
      </w:r>
    </w:p>
    <w:p w14:paraId="3B50F083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,Bold" w:eastAsiaTheme="minorHAnsi" w:hAnsi="Segoe UI,Bold" w:cs="Segoe UI,Bold"/>
          <w:b/>
          <w:bCs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,Bold" w:eastAsiaTheme="minorHAnsi" w:hAnsi="Segoe UI,Bold" w:cs="Segoe UI,Bold"/>
          <w:b/>
          <w:bCs/>
          <w:kern w:val="0"/>
          <w:sz w:val="22"/>
          <w:szCs w:val="22"/>
          <w:lang w:eastAsia="en-US" w:bidi="ar-SA"/>
          <w14:ligatures w14:val="standardContextual"/>
        </w:rPr>
        <w:t>Bibliografie și tematică</w:t>
      </w:r>
    </w:p>
    <w:p w14:paraId="2B27A91C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1. Constituția României, republicată</w:t>
      </w:r>
    </w:p>
    <w:p w14:paraId="2B8F50A5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cu tematica Constituția României, republicată</w:t>
      </w:r>
    </w:p>
    <w:p w14:paraId="341589A2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2. Ordonanța Guvernului nr. 137/2000 privind prevenirea și sancționarea tuturor formelor de discriminare,</w:t>
      </w:r>
    </w:p>
    <w:p w14:paraId="394DCE77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republicată, cu modificările și completările ulterioare</w:t>
      </w:r>
    </w:p>
    <w:p w14:paraId="78F6710F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cu tematica Ordonanța Guvernului nr. 137/2000 privind prevenirea și sancționarea tuturor formelor de</w:t>
      </w:r>
    </w:p>
    <w:p w14:paraId="215C57BE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discriminare, republicată, cu modificările și completările ulterioare</w:t>
      </w:r>
    </w:p>
    <w:p w14:paraId="6E9EE146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3. Legea nr. 202/2002 privind egalitatea de șanse și de tratament între femei și bărbați, republicată, cu</w:t>
      </w:r>
    </w:p>
    <w:p w14:paraId="60351EAF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modificările și completările ulterioare</w:t>
      </w:r>
    </w:p>
    <w:p w14:paraId="70E6FAE9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cu tematica Legea nr. 202/2002 privind egalitatea de șanse și de tratament între femei și bărbați,</w:t>
      </w:r>
    </w:p>
    <w:p w14:paraId="6834A697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republicată, cu modificările și completările ulterioare</w:t>
      </w:r>
    </w:p>
    <w:p w14:paraId="46E7E910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4. Partea I, titlul 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titlul II ale părții a II-a, titlul I al părții a IV-a, titlul 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II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părţii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VI-a din Ordonanța de</w:t>
      </w:r>
    </w:p>
    <w:p w14:paraId="49E4EE78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urgență a Guvernului nr. 57/2019, cu modificările și completările ulterioare</w:t>
      </w:r>
    </w:p>
    <w:p w14:paraId="6E9D3B65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cu tematica Partea I, titlul 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titlul II ale părții a II-a, titlul I al părții a IV-a, titlul 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II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părţii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VI-a din</w:t>
      </w:r>
    </w:p>
    <w:p w14:paraId="20FC8EAD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Ordonanța de urgență a Guvernului nr. 57/2019, cu modificările și completările ulterioare</w:t>
      </w:r>
    </w:p>
    <w:p w14:paraId="13FA356D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5. Legea nr. 53/2003 – Codul Muncii, republicata, cu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modificarile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completarile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ulterioare</w:t>
      </w:r>
    </w:p>
    <w:p w14:paraId="3B04845B" w14:textId="41022855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cu tematica Legea nr. 53/2003 – Codul Muncii, republicata, cu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modificarile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completarile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ulterioare-INTEGRAL</w:t>
      </w:r>
    </w:p>
    <w:p w14:paraId="375660CA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6. Legea-cadru nr. 153/2017 privind salarizarea personalului plătit din fonduri publice, cu modificările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</w:p>
    <w:p w14:paraId="07CC0080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completările ulterioare</w:t>
      </w:r>
    </w:p>
    <w:p w14:paraId="383BDD2E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cu tematica Legea-cadru nr. 153/2017 privind salarizarea personalului plătit din fonduri publice, cu</w:t>
      </w:r>
    </w:p>
    <w:p w14:paraId="6BA10DC4" w14:textId="77777777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modificările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completările ulterioare -INTEGRAL</w:t>
      </w:r>
    </w:p>
    <w:p w14:paraId="2E457FFB" w14:textId="382B1EF3" w:rsid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7. Hotărârea Guvernului nr. 250/1992 privind concediul de odihnă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alte concedii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salariaţilor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din</w:t>
      </w: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administraţia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publică, cu modificările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completările ulterioare</w:t>
      </w:r>
    </w:p>
    <w:p w14:paraId="70CB9BF4" w14:textId="1CD61529" w:rsidR="000F7E18" w:rsidRPr="000A30BC" w:rsidRDefault="000A30BC" w:rsidP="000A30BC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cu tematica Hotărârea Guvernului nr. 250/1992 privind concediul de odihnă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alte concedii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salariaţilor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din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administraţia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publică, cu modificările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şi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completările ulterioare -INTEGRAL</w:t>
      </w:r>
    </w:p>
    <w:p w14:paraId="5C3ED326" w14:textId="77777777" w:rsidR="00EC328E" w:rsidRPr="000F7E18" w:rsidRDefault="00EC328E">
      <w:pPr>
        <w:rPr>
          <w:rFonts w:ascii="Calibri" w:hAnsi="Calibri" w:cs="Calibri"/>
          <w:sz w:val="22"/>
          <w:szCs w:val="22"/>
        </w:rPr>
      </w:pPr>
    </w:p>
    <w:sectPr w:rsidR="00EC328E" w:rsidRPr="000F7E18" w:rsidSect="004C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57047"/>
    <w:multiLevelType w:val="hybridMultilevel"/>
    <w:tmpl w:val="65444C04"/>
    <w:lvl w:ilvl="0" w:tplc="AFE093F4">
      <w:start w:val="1"/>
      <w:numFmt w:val="decimal"/>
      <w:lvlText w:val="%1."/>
      <w:lvlJc w:val="left"/>
      <w:pPr>
        <w:ind w:left="940" w:hanging="310"/>
      </w:pPr>
      <w:rPr>
        <w:rFonts w:hint="default"/>
        <w:spacing w:val="-1"/>
        <w:w w:val="89"/>
        <w:lang w:val="ro-RO" w:eastAsia="en-US" w:bidi="ar-SA"/>
      </w:rPr>
    </w:lvl>
    <w:lvl w:ilvl="1" w:tplc="5CFC97B4">
      <w:numFmt w:val="bullet"/>
      <w:lvlText w:val="•"/>
      <w:lvlJc w:val="left"/>
      <w:pPr>
        <w:ind w:left="1516" w:hanging="310"/>
      </w:pPr>
      <w:rPr>
        <w:rFonts w:hint="default"/>
        <w:lang w:val="ro-RO" w:eastAsia="en-US" w:bidi="ar-SA"/>
      </w:rPr>
    </w:lvl>
    <w:lvl w:ilvl="2" w:tplc="6BC60BA2">
      <w:numFmt w:val="bullet"/>
      <w:lvlText w:val="•"/>
      <w:lvlJc w:val="left"/>
      <w:pPr>
        <w:ind w:left="2553" w:hanging="310"/>
      </w:pPr>
      <w:rPr>
        <w:rFonts w:hint="default"/>
        <w:lang w:val="ro-RO" w:eastAsia="en-US" w:bidi="ar-SA"/>
      </w:rPr>
    </w:lvl>
    <w:lvl w:ilvl="3" w:tplc="9FB2F4BC">
      <w:numFmt w:val="bullet"/>
      <w:lvlText w:val="•"/>
      <w:lvlJc w:val="left"/>
      <w:pPr>
        <w:ind w:left="3590" w:hanging="310"/>
      </w:pPr>
      <w:rPr>
        <w:rFonts w:hint="default"/>
        <w:lang w:val="ro-RO" w:eastAsia="en-US" w:bidi="ar-SA"/>
      </w:rPr>
    </w:lvl>
    <w:lvl w:ilvl="4" w:tplc="8F2AA82E">
      <w:numFmt w:val="bullet"/>
      <w:lvlText w:val="•"/>
      <w:lvlJc w:val="left"/>
      <w:pPr>
        <w:ind w:left="4627" w:hanging="310"/>
      </w:pPr>
      <w:rPr>
        <w:rFonts w:hint="default"/>
        <w:lang w:val="ro-RO" w:eastAsia="en-US" w:bidi="ar-SA"/>
      </w:rPr>
    </w:lvl>
    <w:lvl w:ilvl="5" w:tplc="8670ED96">
      <w:numFmt w:val="bullet"/>
      <w:lvlText w:val="•"/>
      <w:lvlJc w:val="left"/>
      <w:pPr>
        <w:ind w:left="5664" w:hanging="310"/>
      </w:pPr>
      <w:rPr>
        <w:rFonts w:hint="default"/>
        <w:lang w:val="ro-RO" w:eastAsia="en-US" w:bidi="ar-SA"/>
      </w:rPr>
    </w:lvl>
    <w:lvl w:ilvl="6" w:tplc="5A6C4D02">
      <w:numFmt w:val="bullet"/>
      <w:lvlText w:val="•"/>
      <w:lvlJc w:val="left"/>
      <w:pPr>
        <w:ind w:left="6701" w:hanging="310"/>
      </w:pPr>
      <w:rPr>
        <w:rFonts w:hint="default"/>
        <w:lang w:val="ro-RO" w:eastAsia="en-US" w:bidi="ar-SA"/>
      </w:rPr>
    </w:lvl>
    <w:lvl w:ilvl="7" w:tplc="DDF6C188">
      <w:numFmt w:val="bullet"/>
      <w:lvlText w:val="•"/>
      <w:lvlJc w:val="left"/>
      <w:pPr>
        <w:ind w:left="7738" w:hanging="310"/>
      </w:pPr>
      <w:rPr>
        <w:rFonts w:hint="default"/>
        <w:lang w:val="ro-RO" w:eastAsia="en-US" w:bidi="ar-SA"/>
      </w:rPr>
    </w:lvl>
    <w:lvl w:ilvl="8" w:tplc="136C5FB6">
      <w:numFmt w:val="bullet"/>
      <w:lvlText w:val="•"/>
      <w:lvlJc w:val="left"/>
      <w:pPr>
        <w:ind w:left="8775" w:hanging="310"/>
      </w:pPr>
      <w:rPr>
        <w:rFonts w:hint="default"/>
        <w:lang w:val="ro-RO" w:eastAsia="en-US" w:bidi="ar-SA"/>
      </w:rPr>
    </w:lvl>
  </w:abstractNum>
  <w:num w:numId="1" w16cid:durableId="1863738109">
    <w:abstractNumId w:val="0"/>
  </w:num>
  <w:num w:numId="2" w16cid:durableId="71508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8"/>
    <w:rsid w:val="000A30BC"/>
    <w:rsid w:val="000F7E18"/>
    <w:rsid w:val="003A2603"/>
    <w:rsid w:val="003D7276"/>
    <w:rsid w:val="004C38DB"/>
    <w:rsid w:val="00654BE6"/>
    <w:rsid w:val="008D7818"/>
    <w:rsid w:val="00CC23ED"/>
    <w:rsid w:val="00D721FB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A876"/>
  <w15:chartTrackingRefBased/>
  <w15:docId w15:val="{E44D193F-8379-4061-8DB1-D04E00C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18"/>
    <w:pPr>
      <w:widowControl w:val="0"/>
      <w:suppressAutoHyphens/>
      <w:spacing w:after="0" w:line="240" w:lineRule="auto"/>
    </w:pPr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0F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F7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F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F7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F7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F7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F7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F7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F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F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F7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F7E1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F7E1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F7E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F7E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F7E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F7E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F7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F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F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F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F7E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0F7E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F7E1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F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F7E1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F7E18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0F7E18"/>
    <w:pPr>
      <w:spacing w:after="140" w:line="288" w:lineRule="auto"/>
    </w:pPr>
  </w:style>
  <w:style w:type="character" w:customStyle="1" w:styleId="CorptextCaracter">
    <w:name w:val="Corp text Caracter"/>
    <w:basedOn w:val="Fontdeparagrafimplicit"/>
    <w:link w:val="Corptext"/>
    <w:rsid w:val="000F7E18"/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Marincoi</dc:creator>
  <cp:keywords/>
  <dc:description/>
  <cp:lastModifiedBy>Alexandru Marincoi</cp:lastModifiedBy>
  <cp:revision>3</cp:revision>
  <dcterms:created xsi:type="dcterms:W3CDTF">2025-03-13T12:55:00Z</dcterms:created>
  <dcterms:modified xsi:type="dcterms:W3CDTF">2025-03-13T12:57:00Z</dcterms:modified>
</cp:coreProperties>
</file>